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39" w:rsidRPr="00935539" w:rsidRDefault="00935539" w:rsidP="0093553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935539">
        <w:rPr>
          <w:rFonts w:ascii="標楷體" w:eastAsia="標楷體" w:hAnsi="標楷體" w:cs="Times New Roman" w:hint="eastAsia"/>
          <w:b/>
          <w:sz w:val="32"/>
          <w:szCs w:val="32"/>
        </w:rPr>
        <w:t>105</w:t>
      </w:r>
      <w:proofErr w:type="gramEnd"/>
      <w:r w:rsidRPr="00935539">
        <w:rPr>
          <w:rFonts w:ascii="標楷體" w:eastAsia="標楷體" w:hAnsi="標楷體" w:cs="Times New Roman" w:hint="eastAsia"/>
          <w:b/>
          <w:sz w:val="32"/>
          <w:szCs w:val="32"/>
        </w:rPr>
        <w:t>年度住民家屬養護滿意度調查意見反應執行情況報告表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11"/>
        <w:gridCol w:w="873"/>
        <w:gridCol w:w="4024"/>
        <w:gridCol w:w="1436"/>
      </w:tblGrid>
      <w:tr w:rsidR="00935539" w:rsidRPr="00935539" w:rsidTr="00935539">
        <w:trPr>
          <w:trHeight w:val="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建議事項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反應</w:t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br/>
              <w:t>人數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答覆內容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權責</w:t>
            </w: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</w:tr>
      <w:tr w:rsidR="00935539" w:rsidRPr="00935539" w:rsidTr="00935539">
        <w:trPr>
          <w:cantSplit/>
          <w:trHeight w:val="1239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環境方面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房舍後側和退輔會榮家相鄰處落葉甚多，少見整理。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囿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於中心人力，過去本中心外圍環境清理多以鄰近住民活動區域庭園為主，爾後將加強該處之清潔，以提昇環境品質。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行政室</w:t>
            </w:r>
          </w:p>
        </w:tc>
      </w:tr>
      <w:tr w:rsidR="00935539" w:rsidRPr="00935539" w:rsidTr="00935539">
        <w:trPr>
          <w:cantSplit/>
          <w:trHeight w:val="97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室外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應多滅蚊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，戶外蚊子超多的。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本中心每3個月會固定進行環境消毒，其他蟲害尚可有效控制。目前蟲害以小黑蚊（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鋏蠓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）為主，因該蟲害遍佈八卦山區，目前並無公認有效防治方法，為因應4-5月期間蟲害之爆發，本中心業於5-6月以防治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鋏蠓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藥物集中進行投藥，並將視後續情形續為處理。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35539" w:rsidRPr="00935539" w:rsidTr="00935539">
        <w:trPr>
          <w:cantSplit/>
          <w:trHeight w:val="846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有小黑蚊，需消滅。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35539" w:rsidRPr="00935539" w:rsidTr="00935539">
        <w:trPr>
          <w:cantSplit/>
          <w:trHeight w:val="689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現寢室無熱水供應洗手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該棟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疑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因管路老舊阻塞導致部份區域無熱水，目前已洽廠商辦理維修中。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行政室</w:t>
            </w:r>
          </w:p>
        </w:tc>
      </w:tr>
      <w:tr w:rsidR="00935539" w:rsidRPr="00935539" w:rsidTr="00935539">
        <w:trPr>
          <w:trHeight w:val="1251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生活照顧方面                                            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青菜是否可加點油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炒或拌，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適量加點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鹹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度。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ind w:left="237" w:hangingChars="91" w:hanging="237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1.中心目前青菜處理方式:蒜頭以食用油爆香後加入燙過的青菜內與調味品拌勻，因為青菜量大，而且長者普遍牙口不佳(牙齒減少或牙齦無力)，所以拌勻的青菜仍須經過加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水悶軟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入味的過程，使得爆香後蒜頭香氣被稀釋，食用油也與青菜融合一體，難以察覺油的存在。</w:t>
            </w:r>
          </w:p>
          <w:p w:rsidR="00935539" w:rsidRPr="00935539" w:rsidRDefault="00935539" w:rsidP="00935539">
            <w:pPr>
              <w:ind w:left="224" w:hangingChars="86" w:hanging="224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2.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低鹽飲食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是高血壓及心血管疾病長者基本的飲食原則，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再者，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年紀大味蕾退化，無形中口味越吃越重，為維護長者的健康，在膳食供應上，營養師仍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把持低鹽的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原則，對於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堅持重鹽的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住民給</w:t>
            </w:r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予飲食衛教，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住民若因此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食慾減低，就會提供佐餐食品(海苔醬、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小吻魚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細菜脯或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豆腐乳)並與護理人員共同留意住民的食用情形，以免過度依賴佐餐食品，隨時給予關心。</w:t>
            </w:r>
          </w:p>
          <w:p w:rsidR="00935539" w:rsidRPr="00935539" w:rsidRDefault="00935539" w:rsidP="00935539">
            <w:pPr>
              <w:spacing w:line="420" w:lineRule="exact"/>
              <w:ind w:left="224" w:hangingChars="86" w:hanging="22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3.本中心每月召開膳食管理委員會議，提供住民對當月伙食供應的優缺點表達意見，將改善意見落實於改進膳食服務。貴家屬若需進一步了解長輩狀況，歡迎至營養室諮詢。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保健科</w:t>
            </w:r>
          </w:p>
        </w:tc>
      </w:tr>
      <w:tr w:rsidR="00935539" w:rsidRPr="00935539" w:rsidTr="00935539">
        <w:trPr>
          <w:trHeight w:val="1684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為什麼常常換人、每次看人都不一樣，以前比較有人情味。為什麼要外包?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因編制內工作人員離退，配合中央員額管控政策，僅能以外包方式補充人力，因工作辛苦，薪資待遇較低，所以人員流動率較高，已請外包廠商加強召募人員，以久任為宜。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</w:tc>
      </w:tr>
      <w:tr w:rsidR="00935539" w:rsidRPr="00935539" w:rsidTr="00935539">
        <w:trPr>
          <w:trHeight w:val="560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要加強。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將持續注意改進。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</w:tc>
      </w:tr>
      <w:tr w:rsidR="00935539" w:rsidRPr="00935539" w:rsidTr="00935539">
        <w:trPr>
          <w:trHeight w:val="837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建議1-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2位照服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員服務時注意輕聲細語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會注意並要求工作人員服務時之態度，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釐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清是否因住民重聽而工作人員以較大音量與其溝通。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</w:tc>
      </w:tr>
      <w:tr w:rsidR="00935539" w:rsidRPr="00935539" w:rsidTr="00935539">
        <w:trPr>
          <w:trHeight w:val="837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因屬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瘖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啞人士，如表達不清楚可來電洽詢家屬，謝謝辛苦了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﹗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工作人員會利用語言及非語言方式與住民溝通，相信相處一段時間後會逐漸適應，有問題時會隨時聯繫家屬。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</w:tc>
      </w:tr>
      <w:tr w:rsidR="00935539" w:rsidRPr="00935539" w:rsidTr="00935539">
        <w:trPr>
          <w:trHeight w:val="837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飲食、奶瓶的清潔加強。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會請工作人員隨時注意，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補水時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需清潔飲水器具。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</w:tc>
      </w:tr>
      <w:tr w:rsidR="00935539" w:rsidRPr="00935539" w:rsidTr="00935539">
        <w:trPr>
          <w:trHeight w:val="837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before="240"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大致上都非常好，如在青菜類上面的烹調方式稍加調整，就無可挑剔了。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中心目前青菜處理方式:蒜頭以食用油爆香後加入燙過的青菜內與調味品拌勻，因為青菜量大，而且長者普遍牙口不佳(牙齒減少或牙齦無力)，所以拌勻的青菜仍須經</w:t>
            </w: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lastRenderedPageBreak/>
              <w:t>過加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水悶軟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入味的過程，因此青菜顏色很難維持翠綠，瓜類青菜(胡瓜、絲瓜、苦瓜、大黃瓜等</w:t>
            </w:r>
            <w:r w:rsidRPr="00935539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)</w:t>
            </w: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可以藉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由切薄片稍悶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煮的方式，顏色較不受影響。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保健科</w:t>
            </w:r>
          </w:p>
        </w:tc>
      </w:tr>
      <w:tr w:rsidR="00935539" w:rsidRPr="00935539" w:rsidTr="00935539">
        <w:trPr>
          <w:trHeight w:val="837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before="240"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服務員生病仍要工作無法請假，雖有配掛口罩，易造成照顧長者群聚感染。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工作人員身體不適時會依據本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中心感控規定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評估，如有發燒或有傳染之虞者，會安排工作人員休假，以避免有群聚情事發生。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</w:tc>
      </w:tr>
      <w:tr w:rsidR="00935539" w:rsidRPr="00935539" w:rsidTr="00935539">
        <w:trPr>
          <w:trHeight w:val="837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before="240"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救護車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外送要配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有ENT1，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然外包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區域仍需其他護理區支援，對於工作或是疾病易產生交流。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本中心住民送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醫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時會採取適當之照護及隔離措施，送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醫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後人員及車輛進行消毒作業，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如確依規定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程序進行作業，應無疾病傳染之虞。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</w:tc>
      </w:tr>
      <w:tr w:rsidR="00935539" w:rsidRPr="00935539" w:rsidTr="00935539">
        <w:trPr>
          <w:trHeight w:val="12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護理照護方面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多主動關心住民身心，請巡迴醫師提供預防性診療。(防患未然)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護理科：</w:t>
            </w:r>
          </w:p>
          <w:p w:rsidR="00935539" w:rsidRPr="00935539" w:rsidRDefault="00935539" w:rsidP="00935539">
            <w:pPr>
              <w:spacing w:afterLines="50" w:after="180" w:line="420" w:lineRule="exact"/>
              <w:ind w:rightChars="5" w:right="12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工作人員會隨時注意住民身心狀況，如有異常會聯繫家屬，經評估如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有需其時會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照會其他專業介入處遇。本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中心業請彰化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醫院醫師定期（長照住民每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個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月、養護住民每3個月）巡診，為住民整體評估。</w:t>
            </w:r>
          </w:p>
          <w:p w:rsidR="00935539" w:rsidRPr="00935539" w:rsidRDefault="00935539" w:rsidP="00935539">
            <w:pPr>
              <w:ind w:rightChars="5" w:right="12"/>
              <w:jc w:val="both"/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保健科:</w:t>
            </w:r>
          </w:p>
          <w:p w:rsidR="00935539" w:rsidRPr="00935539" w:rsidRDefault="00935539" w:rsidP="00935539">
            <w:pPr>
              <w:ind w:rightChars="5" w:right="12"/>
              <w:jc w:val="both"/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本中心與彰化地區4家醫療院所訂有醫療合約，提供住民必要之門診診療，並安排醫師定期診察評估，服務內容如下:</w:t>
            </w:r>
          </w:p>
          <w:p w:rsidR="00935539" w:rsidRPr="00935539" w:rsidRDefault="00935539" w:rsidP="00935539">
            <w:pPr>
              <w:ind w:rightChars="5" w:right="12"/>
              <w:jc w:val="both"/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1.門診服務:</w:t>
            </w:r>
          </w:p>
          <w:p w:rsidR="00935539" w:rsidRPr="00935539" w:rsidRDefault="00935539" w:rsidP="00935539">
            <w:pPr>
              <w:ind w:leftChars="92" w:left="265" w:rightChars="5" w:right="12" w:hangingChars="17" w:hanging="44"/>
              <w:jc w:val="both"/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由衛生福利部彰化醫院提供神經內科、老年醫學科、精神科門診。由彰化縣牙醫師醫療團提供牙科門診。</w:t>
            </w:r>
          </w:p>
          <w:p w:rsidR="00935539" w:rsidRPr="00935539" w:rsidRDefault="00935539" w:rsidP="00935539">
            <w:pPr>
              <w:ind w:rightChars="5" w:right="12"/>
              <w:jc w:val="both"/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2.常規性巡診服務:</w:t>
            </w:r>
          </w:p>
          <w:p w:rsidR="00935539" w:rsidRPr="00935539" w:rsidRDefault="00935539" w:rsidP="00935539">
            <w:pPr>
              <w:spacing w:line="420" w:lineRule="exact"/>
              <w:ind w:leftChars="94" w:left="252" w:rightChars="5" w:right="12" w:hangingChars="10" w:hanging="2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lastRenderedPageBreak/>
              <w:t>由衛生福利部彰化醫院提供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養護型住民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及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失智型每3個月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1次巡診；長期照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護型住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民除每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個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月1次巡診外，另有居家護理所提供每2個月1次醫師訪視。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護理科</w:t>
            </w: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保健科</w:t>
            </w:r>
          </w:p>
        </w:tc>
      </w:tr>
      <w:tr w:rsidR="00935539" w:rsidRPr="00935539" w:rsidTr="00935539">
        <w:trPr>
          <w:trHeight w:val="112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保健服務方面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多提供家屬有效照護的具體做為。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護理科：</w:t>
            </w:r>
          </w:p>
          <w:p w:rsidR="00935539" w:rsidRPr="00935539" w:rsidRDefault="00935539" w:rsidP="00935539">
            <w:pPr>
              <w:spacing w:afterLines="50" w:after="180"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住民身心狀況有異常時，護理人員會即時聯繫家屬，與家屬討論後續照護問題，必要時會請家屬前來參加各專業的照護會議，討論具體可行的照護措施。</w:t>
            </w:r>
          </w:p>
          <w:p w:rsidR="00935539" w:rsidRPr="00935539" w:rsidRDefault="00935539" w:rsidP="00935539">
            <w:pPr>
              <w:jc w:val="both"/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保健科:</w:t>
            </w:r>
          </w:p>
          <w:p w:rsidR="00935539" w:rsidRPr="00935539" w:rsidRDefault="00935539" w:rsidP="00935539">
            <w:pPr>
              <w:ind w:left="224" w:hangingChars="86" w:hanging="224"/>
              <w:jc w:val="both"/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1.本中心每年有辦理主照顧者研習實體課程，另中心刊物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頤樂彰老半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年刊之照護專欄，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均有提供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老人照護相關知能及技巧，歡迎有興趣家屬報名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及參閱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。</w:t>
            </w:r>
          </w:p>
          <w:p w:rsidR="00935539" w:rsidRPr="00935539" w:rsidRDefault="00935539" w:rsidP="00935539">
            <w:pPr>
              <w:spacing w:line="420" w:lineRule="exact"/>
              <w:ind w:left="250" w:hangingChars="96" w:hanging="25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2.中心服務提供者皆為長期照護相關專業人員，能整合與提供住民周全性評估、個性照護計畫及專業照護諮詢服務，惟因健康問題及照護原則有其個別差異性，家屬若需進一步了解，中心相關專業人員將會提供解釋及說明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保健科</w:t>
            </w:r>
          </w:p>
        </w:tc>
      </w:tr>
      <w:tr w:rsidR="00935539" w:rsidRPr="00935539" w:rsidTr="00935539">
        <w:trPr>
          <w:trHeight w:val="99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老人年度體檢內容，可否納入個人用餐考量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中心每年辦理住民之健康檢查報告，均經由營養師檢視，其中血液檢查生化值可以反映住民的生理狀態，營養師會依據生化值異常的數據，調整供餐內容，或依需求額外提供營養補充配方等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個別化處遇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，並給予飲食衛教，讓住民了解身體的狀況以提高配合度，藉由飲</w:t>
            </w:r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食的修正及用藥(必要時)，使生化值恢復正常範圍，提升生命品質。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保健科</w:t>
            </w:r>
          </w:p>
        </w:tc>
      </w:tr>
      <w:tr w:rsidR="00935539" w:rsidRPr="00935539" w:rsidTr="00935539">
        <w:trPr>
          <w:trHeight w:val="17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社工服務方面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極少主動出擊，欠缺主動關懷，太冷漠。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自本(105)年度3月份起社工員每週皆會前往護理區關懷住民狀況，提供住民關懷與了解住民生活情形。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社工科</w:t>
            </w:r>
          </w:p>
        </w:tc>
      </w:tr>
      <w:tr w:rsidR="00935539" w:rsidRPr="00935539" w:rsidTr="00935539">
        <w:trPr>
          <w:cantSplit/>
          <w:trHeight w:val="1141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整體方面</w:t>
            </w: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整體方面</w:t>
            </w: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整體方面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before="240" w:line="42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對外宣傳介紹太被動，至連彰化市民也對中心十分陌生，互動欠佳。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5539" w:rsidRPr="00935539" w:rsidRDefault="00935539" w:rsidP="00935539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中心每年定期會辦理主要照顧者研習訓練，訓練地點每年輪流至中彰投各鄉鎮，以讓中心照護訊息提供各中部地區民眾知悉，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此外，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亦提供縣市政府、公所及醫院有關中心之照護簡介，以讓有需求之民眾可以獲得訊息參考，但因本中心設立目的主要係提供低收入戶及中低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收入戶失能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長者之照護，對於一般民眾則回歸市場機制讓民眾自行選擇。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社工科</w:t>
            </w:r>
          </w:p>
        </w:tc>
      </w:tr>
      <w:tr w:rsidR="00935539" w:rsidRPr="00935539" w:rsidTr="00935539">
        <w:trPr>
          <w:cantSplit/>
          <w:trHeight w:val="28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before="120"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請在大廳提供紙杯以供來賓使用(所費甚微，不要以環保推拖)服務至上，常聽訪客抱怨，因小失大，可惜。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依據96年06月22日行政院環境保護署環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署廢字第0960046478號函訂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定之「推動政府機關、學校紙杯減量方案」，規定政府機關所屬開放空間或服務民眾場所，不得提供紙杯、一次用塑膠杯及包裝飲用水（包括杯水和瓶裝礦泉水），本中心因受該規定限制，尚無法提供紙杯。為平衡普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世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環境保護價值及服務需求，本中心於服務台提供可重複使用之塑膠杯，並由中心服務人員加以清潔，敬請多加利用。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行政室</w:t>
            </w:r>
          </w:p>
        </w:tc>
      </w:tr>
      <w:tr w:rsidR="00935539" w:rsidRPr="00935539" w:rsidTr="00935539">
        <w:trPr>
          <w:cantSplit/>
          <w:trHeight w:val="242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ind w:left="274" w:hangingChars="98" w:hanging="27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1.護理師員額不足，應補足員額。</w:t>
            </w:r>
          </w:p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2.人力略嫌不足。</w:t>
            </w:r>
          </w:p>
          <w:p w:rsidR="00935539" w:rsidRPr="00935539" w:rsidRDefault="00935539" w:rsidP="00935539">
            <w:pPr>
              <w:spacing w:line="420" w:lineRule="exact"/>
              <w:ind w:left="260" w:hangingChars="93" w:hanging="2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3.建議上級盡量補足人力。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539" w:rsidRPr="00935539" w:rsidRDefault="00935539" w:rsidP="00935539">
            <w:p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護理科：</w:t>
            </w:r>
          </w:p>
          <w:p w:rsidR="00935539" w:rsidRPr="00935539" w:rsidRDefault="00935539" w:rsidP="00935539">
            <w:pPr>
              <w:spacing w:afterLines="50" w:after="180" w:line="420" w:lineRule="exact"/>
              <w:ind w:rightChars="5" w:right="12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本中心護理人員係依據老人福利機構設立標準並加計例假係數進用，目前進用人數為27人，照顧服務員人數亦比照設置，不足數以外包人力補充。</w:t>
            </w:r>
          </w:p>
          <w:p w:rsidR="00935539" w:rsidRPr="00935539" w:rsidRDefault="00935539" w:rsidP="00935539">
            <w:p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人事機構：</w:t>
            </w:r>
          </w:p>
          <w:p w:rsidR="00935539" w:rsidRPr="00935539" w:rsidRDefault="00935539" w:rsidP="00935539">
            <w:pPr>
              <w:numPr>
                <w:ilvl w:val="0"/>
                <w:numId w:val="1"/>
              </w:num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本中心依據「老人福利機構設立標準」規定，以進住的型態（養護、長照及失智床位）及現有住民人數，至少應配置護理人力17名。（未來滿床位時，至少應配置護理人力為19名）</w:t>
            </w:r>
          </w:p>
          <w:p w:rsidR="00935539" w:rsidRPr="00935539" w:rsidRDefault="00935539" w:rsidP="00935539">
            <w:pPr>
              <w:numPr>
                <w:ilvl w:val="0"/>
                <w:numId w:val="1"/>
              </w:num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再者，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本中心係公立機構，護理人力的編制上限，要以行政院核定為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準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，目前得配置上限為27名。（未來滿床位時，得配置上限為29名）</w:t>
            </w:r>
          </w:p>
          <w:p w:rsidR="00935539" w:rsidRPr="00935539" w:rsidRDefault="00935539" w:rsidP="00935539">
            <w:pPr>
              <w:numPr>
                <w:ilvl w:val="0"/>
                <w:numId w:val="1"/>
              </w:numPr>
              <w:spacing w:line="420" w:lineRule="exact"/>
              <w:ind w:rightChars="5" w:right="12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查本中心現有護理人數即27人，並無員額不足的現象，家屬會感覺護理人力比以前少，是因為以前護理人員人數是超額的（超過行政院核定員額的上限），依規定在維護現職人員的權益下，採取遇缺不補的方式精簡（遇有護理人員退離，即不補人），以符合行政院核定員額數。</w:t>
            </w:r>
          </w:p>
          <w:p w:rsidR="00935539" w:rsidRPr="00935539" w:rsidRDefault="00935539" w:rsidP="00935539">
            <w:pPr>
              <w:spacing w:line="420" w:lineRule="exact"/>
              <w:ind w:left="360" w:rightChars="5" w:right="1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人事機構護理科</w:t>
            </w:r>
          </w:p>
        </w:tc>
      </w:tr>
      <w:tr w:rsidR="00935539" w:rsidRPr="00935539" w:rsidTr="00935539">
        <w:trPr>
          <w:cantSplit/>
          <w:trHeight w:val="168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5539" w:rsidRPr="00935539" w:rsidRDefault="00935539" w:rsidP="00935539">
            <w:pPr>
              <w:spacing w:before="240"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5539" w:rsidRPr="00935539" w:rsidRDefault="00935539" w:rsidP="00935539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年度內如遇有護理人員分娩或因病請假情形，人事機構亦會提前因應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遴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補人力，以避免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空窗期過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長。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35539" w:rsidRPr="00935539" w:rsidTr="00935539">
        <w:trPr>
          <w:cantSplit/>
          <w:trHeight w:val="168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before="240"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我們沒在那裡，很多無法看到，證件應該給家屬更方便的需求。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護理科：</w:t>
            </w:r>
          </w:p>
          <w:p w:rsidR="00935539" w:rsidRPr="00935539" w:rsidRDefault="00935539" w:rsidP="00935539">
            <w:pPr>
              <w:spacing w:afterLines="50" w:after="180"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本中心係依據住民之需求提供服務，家屬若有疑問可以詢問當區護理人員或護理長，另證件不知是否係指健保卡，為因應突發狀況，仍建議家屬將健保卡放置於護理站保管。</w:t>
            </w:r>
          </w:p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社工科：</w:t>
            </w:r>
          </w:p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針對公費住民證件外借部分，因中心肩負保管之責，針對需外借身分證等資料須多加了解外借之目的，倘有公文或不影響住民財產權之情事，本科多能協助配合，但若住民意識不清或無明確外借原因，為免日後家屬爭議，較難協助配合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社工科</w:t>
            </w:r>
          </w:p>
        </w:tc>
      </w:tr>
      <w:tr w:rsidR="00935539" w:rsidRPr="00935539" w:rsidTr="00935539">
        <w:trPr>
          <w:cantSplit/>
          <w:trHeight w:val="16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不敢建議，先前建議過，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卻遭貴單位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工作人員詢問我，是否為我建議的，我怕建議後，我的長輩受到不好的對待。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家屬若有任何建議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或需本中心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配合事項，請直接向護理站或護理長反應，我們會儘量配合，不用顧慮。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護理科</w:t>
            </w:r>
          </w:p>
        </w:tc>
      </w:tr>
      <w:tr w:rsidR="00935539" w:rsidRPr="00935539" w:rsidTr="00935539">
        <w:trPr>
          <w:cantSplit/>
          <w:trHeight w:val="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志工服務方</w:t>
            </w:r>
          </w:p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面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天氣合適時，將不良於行長者推至樹蔭下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曬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陽光，亦可減少憂鬱用藥。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本中心志願服務隊生活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關懷組志工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前來服務住民時，會依季節及當天氣候狀況，徵詢住民同意後，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推住民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到戶外園區散步遊園賞花。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社工科</w:t>
            </w:r>
          </w:p>
        </w:tc>
      </w:tr>
      <w:tr w:rsidR="00935539" w:rsidRPr="00935539" w:rsidTr="00935539">
        <w:trPr>
          <w:cantSplit/>
          <w:trHeight w:val="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希望本中心為家屬安排那些課程：</w:t>
            </w:r>
          </w:p>
          <w:p w:rsidR="00935539" w:rsidRPr="00935539" w:rsidRDefault="00935539" w:rsidP="00935539">
            <w:pPr>
              <w:spacing w:line="4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生前遺囑託付說明</w:t>
            </w:r>
          </w:p>
          <w:p w:rsidR="00935539" w:rsidRPr="00935539" w:rsidRDefault="00935539" w:rsidP="00935539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(公費；自費部分說明)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5539" w:rsidRPr="00935539" w:rsidRDefault="00935539" w:rsidP="00935539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未來將此建議列入明（106）年課程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規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畫之參考。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社工科</w:t>
            </w:r>
          </w:p>
        </w:tc>
      </w:tr>
      <w:tr w:rsidR="00935539" w:rsidRPr="00935539" w:rsidTr="00935539">
        <w:trPr>
          <w:cantSplit/>
          <w:trHeight w:val="18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家屬回饋</w:t>
            </w:r>
          </w:p>
        </w:tc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numPr>
                <w:ilvl w:val="0"/>
                <w:numId w:val="2"/>
              </w:numPr>
              <w:spacing w:line="420" w:lineRule="exact"/>
              <w:ind w:left="357" w:hanging="35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對環境方面：清潔、明亮舒適感良好。</w:t>
            </w:r>
          </w:p>
          <w:p w:rsidR="00935539" w:rsidRPr="00935539" w:rsidRDefault="00935539" w:rsidP="00935539">
            <w:pPr>
              <w:numPr>
                <w:ilvl w:val="0"/>
                <w:numId w:val="2"/>
              </w:numPr>
              <w:spacing w:line="420" w:lineRule="exact"/>
              <w:ind w:left="357" w:hanging="357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對生活照顧方面：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81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親切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托育極好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；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6B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好。</w:t>
            </w:r>
          </w:p>
          <w:p w:rsidR="00935539" w:rsidRPr="00935539" w:rsidRDefault="00935539" w:rsidP="00935539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對護理照護方面：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81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長照落實，減輕家庭負擔；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6B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很不錯；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83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謝謝大家的照顧，感恩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﹗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35539" w:rsidRPr="00935539" w:rsidRDefault="00935539" w:rsidP="00935539">
            <w:pPr>
              <w:numPr>
                <w:ilvl w:val="0"/>
                <w:numId w:val="2"/>
              </w:numPr>
              <w:spacing w:line="420" w:lineRule="exact"/>
              <w:ind w:left="357" w:hanging="357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對保健服務方面：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81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長者快速獲得就醫安全感；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6B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很好。</w:t>
            </w:r>
          </w:p>
          <w:p w:rsidR="00935539" w:rsidRPr="00935539" w:rsidRDefault="00935539" w:rsidP="00935539">
            <w:pPr>
              <w:numPr>
                <w:ilvl w:val="0"/>
                <w:numId w:val="2"/>
              </w:numPr>
              <w:spacing w:line="420" w:lineRule="exact"/>
              <w:ind w:left="357" w:hanging="357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對社工服務方面：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81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提供完整諮詢，溝通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平台良優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；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6B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良好 ；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83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很好。</w:t>
            </w:r>
          </w:p>
          <w:p w:rsidR="00935539" w:rsidRPr="00935539" w:rsidRDefault="00935539" w:rsidP="00935539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對志工服務方面：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81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態度良好；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6B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很好（2份）；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83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感謝志工；</w:t>
            </w:r>
            <w:r w:rsidRPr="00935539">
              <w:rPr>
                <w:rFonts w:ascii="新細明體" w:eastAsia="新細明體" w:hAnsi="新細明體" w:cs="新細明體" w:hint="eastAsia"/>
                <w:sz w:val="28"/>
                <w:szCs w:val="28"/>
              </w:rPr>
              <w:t>④</w:t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很感恩。</w:t>
            </w:r>
          </w:p>
          <w:p w:rsidR="00935539" w:rsidRPr="00935539" w:rsidRDefault="00935539" w:rsidP="00935539">
            <w:pPr>
              <w:numPr>
                <w:ilvl w:val="0"/>
                <w:numId w:val="2"/>
              </w:numPr>
              <w:spacing w:line="420" w:lineRule="exact"/>
              <w:ind w:left="357" w:hanging="357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整體而言：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81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改善改進件數少，值得家屬稱讚；</w:t>
            </w:r>
            <w:r w:rsidRPr="00935539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6B"/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很好。</w:t>
            </w:r>
          </w:p>
          <w:p w:rsidR="00935539" w:rsidRPr="00935539" w:rsidRDefault="00935539" w:rsidP="00935539">
            <w:pPr>
              <w:numPr>
                <w:ilvl w:val="0"/>
                <w:numId w:val="2"/>
              </w:numPr>
              <w:spacing w:line="420" w:lineRule="exact"/>
              <w:ind w:left="357" w:hanging="357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其他：</w:t>
            </w:r>
          </w:p>
          <w:p w:rsidR="00935539" w:rsidRPr="00935539" w:rsidRDefault="00935539" w:rsidP="00935539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對中心辦活動方面的建議-非常好；落實制度促進親屬關懷。</w:t>
            </w:r>
          </w:p>
          <w:p w:rsidR="00935539" w:rsidRPr="00935539" w:rsidRDefault="00935539" w:rsidP="00935539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課程時間90分鐘的安排是否合適：家屬能充分發言</w:t>
            </w:r>
          </w:p>
        </w:tc>
      </w:tr>
      <w:tr w:rsidR="00935539" w:rsidRPr="00935539" w:rsidTr="00935539">
        <w:trPr>
          <w:cantSplit/>
          <w:trHeight w:val="92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105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年度住民家屬養護滿意度調查表共回收</w:t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55 </w:t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份，有填寫意見者</w:t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19 </w:t>
            </w:r>
            <w:r w:rsidRPr="00935539">
              <w:rPr>
                <w:rFonts w:ascii="標楷體" w:eastAsia="標楷體" w:hAnsi="標楷體" w:cs="Times New Roman" w:hint="eastAsia"/>
                <w:sz w:val="28"/>
                <w:szCs w:val="28"/>
              </w:rPr>
              <w:t>份。</w:t>
            </w:r>
          </w:p>
        </w:tc>
      </w:tr>
    </w:tbl>
    <w:p w:rsidR="00935539" w:rsidRPr="00935539" w:rsidRDefault="00935539" w:rsidP="00935539">
      <w:pPr>
        <w:rPr>
          <w:rFonts w:ascii="標楷體" w:eastAsia="標楷體" w:hAnsi="標楷體" w:cs="Times New Roman" w:hint="eastAsia"/>
          <w:b/>
          <w:sz w:val="32"/>
          <w:szCs w:val="32"/>
        </w:rPr>
      </w:pPr>
    </w:p>
    <w:p w:rsidR="00935539" w:rsidRPr="00935539" w:rsidRDefault="00935539" w:rsidP="00935539">
      <w:pPr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proofErr w:type="gramStart"/>
      <w:r w:rsidRPr="00935539">
        <w:rPr>
          <w:rFonts w:ascii="標楷體" w:eastAsia="標楷體" w:hAnsi="標楷體" w:cs="Times New Roman" w:hint="eastAsia"/>
          <w:b/>
          <w:sz w:val="32"/>
          <w:szCs w:val="32"/>
        </w:rPr>
        <w:t>105</w:t>
      </w:r>
      <w:proofErr w:type="gramEnd"/>
      <w:r w:rsidRPr="00935539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proofErr w:type="gramStart"/>
      <w:r w:rsidRPr="00935539">
        <w:rPr>
          <w:rFonts w:ascii="標楷體" w:eastAsia="標楷體" w:hAnsi="標楷體" w:cs="Times New Roman" w:hint="eastAsia"/>
          <w:b/>
          <w:sz w:val="32"/>
          <w:szCs w:val="32"/>
        </w:rPr>
        <w:t>失智住民</w:t>
      </w:r>
      <w:proofErr w:type="gramEnd"/>
      <w:r w:rsidRPr="00935539">
        <w:rPr>
          <w:rFonts w:ascii="標楷體" w:eastAsia="標楷體" w:hAnsi="標楷體" w:cs="Times New Roman" w:hint="eastAsia"/>
          <w:b/>
          <w:sz w:val="32"/>
          <w:szCs w:val="32"/>
        </w:rPr>
        <w:t>家屬滿意度調查意見反應執行情況報告表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13"/>
        <w:gridCol w:w="873"/>
        <w:gridCol w:w="4026"/>
        <w:gridCol w:w="1430"/>
      </w:tblGrid>
      <w:tr w:rsidR="00935539" w:rsidRPr="00935539" w:rsidTr="00935539">
        <w:trPr>
          <w:trHeight w:val="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建議事項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反應</w:t>
            </w: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br/>
              <w:t>人數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答覆內容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權責</w:t>
            </w:r>
          </w:p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單位</w:t>
            </w:r>
          </w:p>
        </w:tc>
      </w:tr>
      <w:tr w:rsidR="00935539" w:rsidRPr="00935539" w:rsidTr="00935539">
        <w:trPr>
          <w:cantSplit/>
          <w:trHeight w:val="9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環境方面</w:t>
            </w:r>
          </w:p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</w:p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</w:p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常聞到老人異味，空氣通暢不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滿意，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可運用二氧化氯作為消毒及除異味的部份。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異味主要是老人會隨地大小便，另外天花板的抽風機無排風出口，導致空氣無法流通，異味無法散去，目前已在幸福2家走廊後方裝設1台排風扇並定時抽風，加強帶老人如廁，發現有隨地大小便時，立即清理並以熱水沖刷，另外每天使用水神(次氯酸水)、定期用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漂白水拖地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，以進行空氣淨化及消毒。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39" w:rsidRPr="00935539" w:rsidRDefault="00935539" w:rsidP="00935539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護理科</w:t>
            </w:r>
          </w:p>
        </w:tc>
      </w:tr>
      <w:tr w:rsidR="00935539" w:rsidRPr="00935539" w:rsidTr="00935539">
        <w:trPr>
          <w:trHeight w:val="818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935539" w:rsidRPr="00935539" w:rsidRDefault="00935539" w:rsidP="00935539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lastRenderedPageBreak/>
              <w:t>生活照顧方面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ind w:right="-38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增加人力，讓工作人員負擔降低，照顧品質提升。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ind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539" w:rsidRPr="00935539" w:rsidRDefault="00935539" w:rsidP="00935539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本中心係依據「老人福利機構設立標準」規定，以進住的型態（養護、長照及失智床位）及現有住民人數來配置護理人力。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再者，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本中心係公立機構，護理人力的編制上限，要以行政院核定為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準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。</w:t>
            </w:r>
          </w:p>
          <w:p w:rsidR="00935539" w:rsidRPr="00935539" w:rsidRDefault="00935539" w:rsidP="00935539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本中心人力配置係以法規規定人數再乘以1.38倍，已經遠超過法規的配置，礙於機構的員額及經費的限制，已經無法再增加照顧人力了。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人事機構</w:t>
            </w:r>
          </w:p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護理科</w:t>
            </w:r>
          </w:p>
        </w:tc>
      </w:tr>
      <w:tr w:rsidR="00935539" w:rsidRPr="00935539" w:rsidTr="00935539">
        <w:trPr>
          <w:trHeight w:val="831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widowControl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我覺得飲食方面可以再改善，醫生有說李黃玉里阿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嬤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有瘦，沒有吃好的感覺。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ind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9" w:rsidRPr="00935539" w:rsidRDefault="00935539" w:rsidP="00935539">
            <w:pPr>
              <w:numPr>
                <w:ilvl w:val="0"/>
                <w:numId w:val="4"/>
              </w:numPr>
              <w:ind w:rightChars="5" w:right="1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阿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嬤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係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訂軟質餐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(乾飯)、普通夜點，平日進食情形良好，約可吃7-8分盤，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會吃夜點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。其理想體重:53.2公斤，進住   體重52公斤、8月份53公斤   (BMI21.9)體重上升1公斤，體</w:t>
            </w:r>
          </w:p>
          <w:p w:rsidR="00935539" w:rsidRPr="00935539" w:rsidRDefault="00935539" w:rsidP="00935539">
            <w:pPr>
              <w:ind w:rightChars="5" w:right="12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位適中，營養狀況良好。</w:t>
            </w:r>
          </w:p>
          <w:p w:rsidR="00935539" w:rsidRPr="00935539" w:rsidRDefault="00935539" w:rsidP="00935539">
            <w:pPr>
              <w:numPr>
                <w:ilvl w:val="0"/>
                <w:numId w:val="4"/>
              </w:numPr>
              <w:ind w:rightChars="5" w:right="12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住民有時會隨喜好或心情有些</w:t>
            </w:r>
          </w:p>
          <w:p w:rsidR="00935539" w:rsidRPr="00935539" w:rsidRDefault="00935539" w:rsidP="00935539">
            <w:pPr>
              <w:ind w:left="360" w:rightChars="5" w:right="1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sz w:val="26"/>
                <w:szCs w:val="26"/>
              </w:rPr>
              <w:t>菜餚吃比較少，經觀察對雞腿比較不喜歡，不過攝食情形大致良好，持續觀察追蹤營養情形。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9" w:rsidRPr="00935539" w:rsidRDefault="00935539" w:rsidP="0093553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保健科</w:t>
            </w:r>
          </w:p>
        </w:tc>
      </w:tr>
      <w:tr w:rsidR="00935539" w:rsidRPr="00935539" w:rsidTr="00935539">
        <w:trPr>
          <w:cantSplit/>
          <w:trHeight w:val="92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935539" w:rsidRPr="00935539" w:rsidRDefault="00935539" w:rsidP="00935539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5539" w:rsidRPr="00935539" w:rsidRDefault="00935539" w:rsidP="00935539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105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年度</w:t>
            </w:r>
            <w:proofErr w:type="gramStart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失智住民</w:t>
            </w:r>
            <w:proofErr w:type="gramEnd"/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家屬滿意度調查表共回收</w:t>
            </w: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u w:val="single"/>
              </w:rPr>
              <w:t>10</w:t>
            </w: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份，有填寫意見者</w:t>
            </w: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u w:val="single"/>
              </w:rPr>
              <w:t>2</w:t>
            </w:r>
            <w:r w:rsidRPr="0093553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份。</w:t>
            </w:r>
          </w:p>
        </w:tc>
      </w:tr>
    </w:tbl>
    <w:p w:rsidR="00935539" w:rsidRPr="00935539" w:rsidRDefault="00935539" w:rsidP="00935539">
      <w:pPr>
        <w:widowControl/>
        <w:rPr>
          <w:rFonts w:ascii="標楷體" w:eastAsia="標楷體" w:hAnsi="標楷體" w:cs="Times New Roman" w:hint="eastAsia"/>
          <w:szCs w:val="24"/>
        </w:rPr>
      </w:pPr>
    </w:p>
    <w:p w:rsidR="00935539" w:rsidRPr="00935539" w:rsidRDefault="00935539" w:rsidP="00935539">
      <w:pPr>
        <w:widowControl/>
        <w:rPr>
          <w:rFonts w:ascii="標楷體" w:eastAsia="標楷體" w:hAnsi="標楷體" w:cs="Times New Roman" w:hint="eastAsia"/>
          <w:szCs w:val="24"/>
        </w:rPr>
      </w:pPr>
    </w:p>
    <w:p w:rsidR="00FE2BD4" w:rsidRPr="00935539" w:rsidRDefault="00FE2BD4">
      <w:bookmarkStart w:id="0" w:name="_GoBack"/>
      <w:bookmarkEnd w:id="0"/>
    </w:p>
    <w:sectPr w:rsidR="00FE2BD4" w:rsidRPr="009355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0D38"/>
    <w:multiLevelType w:val="hybridMultilevel"/>
    <w:tmpl w:val="906608DE"/>
    <w:lvl w:ilvl="0" w:tplc="8A0440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7318FE"/>
    <w:multiLevelType w:val="hybridMultilevel"/>
    <w:tmpl w:val="7B1E8D5A"/>
    <w:lvl w:ilvl="0" w:tplc="CD2CA4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8D74F7"/>
    <w:multiLevelType w:val="hybridMultilevel"/>
    <w:tmpl w:val="FC2A894A"/>
    <w:lvl w:ilvl="0" w:tplc="37A410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A7699F"/>
    <w:multiLevelType w:val="hybridMultilevel"/>
    <w:tmpl w:val="A5A8CDD6"/>
    <w:lvl w:ilvl="0" w:tplc="9CE69514">
      <w:start w:val="1"/>
      <w:numFmt w:val="decimal"/>
      <w:lvlText w:val="(%1)"/>
      <w:lvlJc w:val="left"/>
      <w:pPr>
        <w:ind w:left="837" w:hanging="48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39"/>
    <w:rsid w:val="0093553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2016-12-15T09:25:00Z</dcterms:created>
  <dcterms:modified xsi:type="dcterms:W3CDTF">2016-12-15T09:26:00Z</dcterms:modified>
</cp:coreProperties>
</file>